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0" w:rsidRDefault="00927AB5">
      <w:pPr>
        <w:pStyle w:val="Corpodeltesto"/>
        <w:spacing w:before="0"/>
        <w:jc w:val="left"/>
        <w:rPr>
          <w:sz w:val="20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130810</wp:posOffset>
            </wp:positionV>
            <wp:extent cx="742950" cy="7334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:rsidR="00927AB5" w:rsidRPr="00927AB5" w:rsidRDefault="00927AB5" w:rsidP="00927AB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767171"/>
          <w:sz w:val="40"/>
          <w:szCs w:val="44"/>
          <w:lang w:val="it-IT"/>
        </w:rPr>
      </w:pPr>
      <w:r w:rsidRPr="00927AB5">
        <w:rPr>
          <w:rFonts w:ascii="Garamond" w:hAnsi="Garamond"/>
          <w:b/>
          <w:bCs/>
          <w:color w:val="767171"/>
          <w:sz w:val="40"/>
          <w:szCs w:val="44"/>
          <w:lang w:val="it-IT"/>
        </w:rPr>
        <w:t>AZIENDA SPECIALE CONSORTILE B02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UFFICIO DI PIANO VIA GIUSEPPE MAZZINI N. 13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82018 - SAN GIORGIO DEL SANNIO (BN) - C.F.  01752300622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Style w:val="Collegamentoipertestuale"/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 xml:space="preserve">                    Tel. e fax 0824/58214 e-mail </w:t>
      </w:r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aziendaconsortileb02@libero.it ; </w:t>
      </w:r>
      <w:hyperlink r:id="rId7" w:history="1">
        <w:r w:rsidRPr="00927AB5">
          <w:rPr>
            <w:rFonts w:ascii="Garamond" w:hAnsi="Garamond" w:cs="Calibri Light"/>
            <w:color w:val="0000FF"/>
            <w:sz w:val="20"/>
            <w:szCs w:val="20"/>
            <w:u w:val="single"/>
            <w:lang w:val="it-IT"/>
          </w:rPr>
          <w:t xml:space="preserve"> aziendaconsortileb02</w:t>
        </w:r>
        <w:r w:rsidRPr="00927AB5">
          <w:rPr>
            <w:rStyle w:val="Collegamentoipertestuale"/>
            <w:rFonts w:ascii="Garamond" w:hAnsi="Garamond" w:cs="Calibri Light"/>
            <w:sz w:val="20"/>
            <w:szCs w:val="20"/>
            <w:lang w:val="it-IT"/>
          </w:rPr>
          <w:softHyphen/>
          <w:t>@pec.it</w:t>
        </w:r>
      </w:hyperlink>
    </w:p>
    <w:p w:rsidR="003D2B90" w:rsidRPr="00B27BF3" w:rsidRDefault="003D2B90">
      <w:pPr>
        <w:pStyle w:val="Corpodeltesto"/>
        <w:spacing w:before="0"/>
        <w:jc w:val="left"/>
        <w:rPr>
          <w:sz w:val="20"/>
          <w:lang w:val="it-IT"/>
        </w:rPr>
      </w:pPr>
    </w:p>
    <w:p w:rsidR="003D2B90" w:rsidRPr="00B27BF3" w:rsidRDefault="003D2B90">
      <w:pPr>
        <w:pStyle w:val="Corpodeltesto"/>
        <w:spacing w:before="0"/>
        <w:jc w:val="left"/>
        <w:rPr>
          <w:sz w:val="20"/>
          <w:lang w:val="it-IT"/>
        </w:rPr>
      </w:pPr>
    </w:p>
    <w:p w:rsidR="00E41462" w:rsidRDefault="00E41462" w:rsidP="00927AB5">
      <w:pPr>
        <w:pStyle w:val="Corpodel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ALLEGATO </w:t>
      </w:r>
      <w:r w:rsidR="000960A4">
        <w:rPr>
          <w:rFonts w:asciiTheme="minorHAnsi" w:hAnsiTheme="minorHAnsi"/>
          <w:b/>
          <w:i/>
          <w:sz w:val="20"/>
          <w:szCs w:val="22"/>
          <w:lang w:val="it-IT"/>
        </w:rPr>
        <w:t>2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 </w:t>
      </w:r>
      <w:r w:rsidR="00345C9F"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/ 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>FORMAT PROGETTO</w:t>
      </w:r>
      <w:r w:rsidRPr="00927AB5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</w:p>
    <w:p w:rsidR="00927AB5" w:rsidRPr="00927AB5" w:rsidRDefault="00927AB5" w:rsidP="00927AB5">
      <w:pPr>
        <w:pStyle w:val="Corpodel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02284B" w:rsidRPr="00AC211D" w:rsidRDefault="00AC211D" w:rsidP="00AC211D">
      <w:pPr>
        <w:pStyle w:val="Default"/>
        <w:rPr>
          <w:rFonts w:ascii="Dubai" w:hAnsi="Dubai" w:cs="Dubai"/>
          <w:b/>
          <w:color w:val="365F91" w:themeColor="accent1" w:themeShade="BF"/>
          <w:shd w:val="clear" w:color="auto" w:fill="FFFFFF"/>
        </w:rPr>
      </w:pPr>
      <w:r w:rsidRPr="003F0BA1">
        <w:rPr>
          <w:rFonts w:ascii="Dubai" w:hAnsi="Dubai" w:cs="Dubai"/>
          <w:b/>
          <w:color w:val="365F91" w:themeColor="accent1" w:themeShade="BF"/>
        </w:rPr>
        <w:t xml:space="preserve">CO-PROGETTAZIONE DELLE </w:t>
      </w:r>
      <w:r w:rsidRPr="003F0BA1">
        <w:rPr>
          <w:rFonts w:ascii="Dubai" w:hAnsi="Dubai" w:cs="Dubai"/>
          <w:b/>
          <w:color w:val="365F91" w:themeColor="accent1" w:themeShade="BF"/>
          <w:shd w:val="clear" w:color="auto" w:fill="FFFFFF"/>
        </w:rPr>
        <w:t xml:space="preserve">ATTIVITÀ GESTIONALI PREVISTE DAL </w:t>
      </w:r>
      <w:r>
        <w:rPr>
          <w:rFonts w:ascii="Dubai" w:hAnsi="Dubai" w:cs="Dubai"/>
          <w:b/>
          <w:color w:val="365F91" w:themeColor="accent1" w:themeShade="BF"/>
          <w:shd w:val="clear" w:color="auto" w:fill="FFFFFF"/>
        </w:rPr>
        <w:t xml:space="preserve"> </w:t>
      </w:r>
      <w:r w:rsidRPr="003F0BA1">
        <w:rPr>
          <w:rFonts w:ascii="Dubai" w:hAnsi="Dubai" w:cs="Dubai"/>
          <w:b/>
          <w:color w:val="365F91" w:themeColor="accent1" w:themeShade="BF"/>
          <w:shd w:val="clear" w:color="auto" w:fill="FFFFFF"/>
        </w:rPr>
        <w:t>PROGETTO HOME CARE PREMIUM 2022.</w:t>
      </w:r>
    </w:p>
    <w:p w:rsidR="0002284B" w:rsidRPr="0002284B" w:rsidRDefault="0002284B" w:rsidP="0002284B">
      <w:pPr>
        <w:pStyle w:val="Corpodel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8662"/>
      </w:tblGrid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b/>
                <w:sz w:val="20"/>
              </w:rPr>
            </w:pPr>
            <w:r w:rsidRPr="00AC211D">
              <w:rPr>
                <w:rFonts w:ascii="Dubai" w:hAnsi="Dubai" w:cs="Dubai"/>
                <w:b/>
                <w:sz w:val="20"/>
              </w:rPr>
              <w:t>N.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b/>
                <w:sz w:val="20"/>
              </w:rPr>
            </w:pPr>
            <w:r w:rsidRPr="00AC211D">
              <w:rPr>
                <w:rFonts w:ascii="Dubai" w:hAnsi="Dubai" w:cs="Dubai"/>
                <w:b/>
                <w:sz w:val="20"/>
              </w:rPr>
              <w:t>SUB-CRITERI</w:t>
            </w:r>
          </w:p>
        </w:tc>
      </w:tr>
      <w:tr w:rsidR="00AC211D" w:rsidRPr="00AC211D" w:rsidTr="00AC211D">
        <w:trPr>
          <w:trHeight w:val="422"/>
        </w:trPr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shd w:val="clear" w:color="auto" w:fill="C6D9F1" w:themeFill="text2" w:themeFillTint="33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b/>
                <w:sz w:val="20"/>
              </w:rPr>
            </w:pPr>
            <w:r w:rsidRPr="00AC211D">
              <w:rPr>
                <w:rFonts w:ascii="Dubai" w:hAnsi="Dubai" w:cs="Dubai"/>
                <w:b/>
                <w:sz w:val="20"/>
              </w:rPr>
              <w:t>A) REQUISITI TECNICO PROFESSIONALI (MAX 14 PUNTI)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 xml:space="preserve">A.1 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Esperienza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pregressa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gestione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attività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gestionali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riferite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Home Care Premium 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adeguatamente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documentate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  <w:u w:val="single"/>
              </w:rPr>
              <w:t xml:space="preserve">2,0 </w:t>
            </w:r>
            <w:proofErr w:type="spellStart"/>
            <w:r w:rsidRPr="00AC211D">
              <w:rPr>
                <w:rFonts w:ascii="Dubai" w:hAnsi="Dubai" w:cs="Dubai"/>
                <w:sz w:val="20"/>
                <w:u w:val="single"/>
              </w:rPr>
              <w:t>punti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per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ogni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anno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svolto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in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modo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continuativo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nell’ultimo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quinquennio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dalla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data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pubblicazione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presente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avviso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  <w:u w:val="single"/>
              </w:rPr>
              <w:t xml:space="preserve">1,0 </w:t>
            </w:r>
            <w:proofErr w:type="spellStart"/>
            <w:r w:rsidRPr="00AC211D">
              <w:rPr>
                <w:rFonts w:ascii="Dubai" w:hAnsi="Dubai" w:cs="Dubai"/>
                <w:sz w:val="20"/>
                <w:u w:val="single"/>
              </w:rPr>
              <w:t>punto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per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ogni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semestre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svolto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in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modo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continuativo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nell’ultimo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quinquennio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dalla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data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pubblicazione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presente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avviso</w:t>
            </w:r>
            <w:proofErr w:type="spellEnd"/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Dubai" w:hAnsi="Dubai" w:cs="Dubai"/>
                <w:b/>
                <w:sz w:val="20"/>
                <w:u w:val="single"/>
              </w:rPr>
            </w:pPr>
            <w:r w:rsidRPr="00AC211D">
              <w:rPr>
                <w:rFonts w:ascii="Dubai" w:hAnsi="Dubai" w:cs="Dubai"/>
                <w:sz w:val="20"/>
              </w:rPr>
              <w:t xml:space="preserve">Al fine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dell’attribuzione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punteggio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il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concorrente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deve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obbligatoriamente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indicare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la data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inizio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la data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fine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servizio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r w:rsidRPr="00AC211D">
              <w:rPr>
                <w:rFonts w:ascii="Dubai" w:hAnsi="Dubai" w:cs="Dubai"/>
                <w:b/>
                <w:sz w:val="20"/>
              </w:rPr>
              <w:t>(</w:t>
            </w:r>
            <w:proofErr w:type="spellStart"/>
            <w:r w:rsidRPr="00AC211D">
              <w:rPr>
                <w:rFonts w:ascii="Dubai" w:hAnsi="Dubai" w:cs="Dubai"/>
                <w:b/>
                <w:sz w:val="20"/>
                <w:u w:val="single"/>
              </w:rPr>
              <w:t>giorno</w:t>
            </w:r>
            <w:proofErr w:type="spellEnd"/>
            <w:r w:rsidRPr="00AC211D">
              <w:rPr>
                <w:rFonts w:ascii="Dubai" w:hAnsi="Dubai" w:cs="Dubai"/>
                <w:b/>
                <w:sz w:val="20"/>
                <w:u w:val="single"/>
              </w:rPr>
              <w:t>-</w:t>
            </w:r>
            <w:proofErr w:type="spellStart"/>
            <w:r w:rsidRPr="00AC211D">
              <w:rPr>
                <w:rFonts w:ascii="Dubai" w:hAnsi="Dubai" w:cs="Dubai"/>
                <w:b/>
                <w:sz w:val="20"/>
                <w:u w:val="single"/>
              </w:rPr>
              <w:t>mese</w:t>
            </w:r>
            <w:proofErr w:type="spellEnd"/>
            <w:r w:rsidRPr="00AC211D">
              <w:rPr>
                <w:rFonts w:ascii="Dubai" w:hAnsi="Dubai" w:cs="Dubai"/>
                <w:b/>
                <w:sz w:val="20"/>
                <w:u w:val="single"/>
              </w:rPr>
              <w:t>-anno</w:t>
            </w:r>
            <w:r w:rsidRPr="00AC211D">
              <w:rPr>
                <w:rFonts w:ascii="Dubai" w:hAnsi="Dubai" w:cs="Dubai"/>
                <w:sz w:val="20"/>
                <w:u w:val="single"/>
              </w:rPr>
              <w:t xml:space="preserve">) </w:t>
            </w:r>
            <w:proofErr w:type="spellStart"/>
            <w:r w:rsidRPr="00AC211D">
              <w:rPr>
                <w:rFonts w:ascii="Dubai" w:hAnsi="Dubai" w:cs="Dubai"/>
                <w:b/>
                <w:sz w:val="20"/>
                <w:u w:val="single"/>
              </w:rPr>
              <w:t>pena</w:t>
            </w:r>
            <w:proofErr w:type="spellEnd"/>
            <w:r w:rsidRPr="00AC211D">
              <w:rPr>
                <w:rFonts w:ascii="Dubai" w:hAnsi="Dubai" w:cs="Dubai"/>
                <w:b/>
                <w:sz w:val="20"/>
                <w:u w:val="single"/>
              </w:rPr>
              <w:t xml:space="preserve"> la non </w:t>
            </w:r>
            <w:proofErr w:type="spellStart"/>
            <w:r w:rsidRPr="00AC211D">
              <w:rPr>
                <w:rFonts w:ascii="Dubai" w:hAnsi="Dubai" w:cs="Dubai"/>
                <w:b/>
                <w:sz w:val="20"/>
                <w:u w:val="single"/>
              </w:rPr>
              <w:t>valutazione</w:t>
            </w:r>
            <w:proofErr w:type="spellEnd"/>
            <w:r w:rsidRPr="00AC211D">
              <w:rPr>
                <w:rFonts w:ascii="Dubai" w:hAnsi="Dubai" w:cs="Dubai"/>
                <w:b/>
                <w:sz w:val="20"/>
                <w:u w:val="single"/>
              </w:rPr>
              <w:t>.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A.2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pStyle w:val="TableParagraph"/>
              <w:ind w:left="113" w:right="113"/>
              <w:jc w:val="both"/>
              <w:rPr>
                <w:rFonts w:ascii="Dubai" w:hAnsi="Dubai" w:cs="Dubai"/>
                <w:b/>
                <w:sz w:val="20"/>
                <w:u w:val="single"/>
                <w:lang w:val="it-IT"/>
              </w:rPr>
            </w:pPr>
            <w:r w:rsidRPr="00AC211D">
              <w:rPr>
                <w:rFonts w:ascii="Dubai" w:hAnsi="Dubai" w:cs="Dubai"/>
                <w:sz w:val="20"/>
                <w:lang w:val="it-IT"/>
              </w:rPr>
              <w:t xml:space="preserve">Qualità del coordinatore </w:t>
            </w:r>
            <w:r w:rsidRPr="00AC211D">
              <w:rPr>
                <w:rFonts w:ascii="Dubai" w:hAnsi="Dubai" w:cs="Dubai"/>
                <w:b/>
                <w:sz w:val="20"/>
                <w:u w:val="single"/>
                <w:lang w:val="it-IT"/>
              </w:rPr>
              <w:t>(allegare curriculum redatto in formato europeo debitamente sottoscritto e con in calce l’autorizzazione al trattamento dei dati personali, completo di documento di riconoscimento in corso di validità pena la non valutazione).</w:t>
            </w:r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ind w:left="113" w:right="113"/>
              <w:rPr>
                <w:rFonts w:ascii="Dubai" w:hAnsi="Dubai" w:cs="Dubai"/>
                <w:sz w:val="20"/>
              </w:rPr>
            </w:pPr>
          </w:p>
          <w:tbl>
            <w:tblPr>
              <w:tblStyle w:val="Grigliatabella"/>
              <w:tblW w:w="7192" w:type="dxa"/>
              <w:tblInd w:w="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32"/>
              <w:gridCol w:w="1560"/>
            </w:tblGrid>
            <w:tr w:rsidR="00AC211D" w:rsidRPr="00AC211D" w:rsidTr="009D4FD3">
              <w:tc>
                <w:tcPr>
                  <w:tcW w:w="5632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bot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 xml:space="preserve">Da 12 mesi a 2 anni di esperienza nelle attività oggetto della procedura.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center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P.1</w:t>
                  </w:r>
                </w:p>
              </w:tc>
            </w:tr>
            <w:tr w:rsidR="00AC211D" w:rsidRPr="00AC211D" w:rsidTr="009D4FD3">
              <w:tc>
                <w:tcPr>
                  <w:tcW w:w="5632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bot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 xml:space="preserve">Da 2.1 anni a 3 anni 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center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p. 2</w:t>
                  </w:r>
                </w:p>
              </w:tc>
            </w:tr>
            <w:tr w:rsidR="00AC211D" w:rsidRPr="00AC211D" w:rsidTr="009D4FD3">
              <w:tc>
                <w:tcPr>
                  <w:tcW w:w="5632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bot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 3.1 anni a 4 anni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center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p. 3</w:t>
                  </w:r>
                </w:p>
              </w:tc>
            </w:tr>
            <w:tr w:rsidR="00AC211D" w:rsidRPr="00AC211D" w:rsidTr="009D4FD3">
              <w:tc>
                <w:tcPr>
                  <w:tcW w:w="5632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spacing w:after="120"/>
                    <w:ind w:left="113" w:right="113"/>
                    <w:jc w:val="bot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 4.1 anni a 5 anni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ind w:left="113" w:right="113"/>
                    <w:jc w:val="center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p. 4</w:t>
                  </w:r>
                </w:p>
              </w:tc>
            </w:tr>
          </w:tbl>
          <w:p w:rsidR="00AC211D" w:rsidRPr="00AC211D" w:rsidRDefault="00AC211D" w:rsidP="009D4FD3">
            <w:pPr>
              <w:autoSpaceDE w:val="0"/>
              <w:autoSpaceDN w:val="0"/>
              <w:adjustRightInd w:val="0"/>
              <w:ind w:left="113" w:right="113"/>
              <w:rPr>
                <w:rFonts w:ascii="Dubai" w:hAnsi="Dubai" w:cs="Dubai"/>
                <w:sz w:val="20"/>
              </w:rPr>
            </w:pP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shd w:val="clear" w:color="auto" w:fill="C6D9F1" w:themeFill="text2" w:themeFillTint="33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b/>
                <w:sz w:val="20"/>
              </w:rPr>
            </w:pPr>
            <w:r w:rsidRPr="00AC211D">
              <w:rPr>
                <w:rFonts w:ascii="Dubai" w:hAnsi="Dubai" w:cs="Dubai"/>
                <w:b/>
                <w:sz w:val="20"/>
              </w:rPr>
              <w:t>B) PROPOSTA PROGETTUALE (MAX 66 PUNTI)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B.1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Analisi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fabbisogno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diffusione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informazioni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sul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. </w:t>
            </w:r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Caratteristiche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problematiche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dell’utenza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potenziale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servizio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</w:p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Contesto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in cui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inserisce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l’erogazione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servizio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B.2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b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Proposta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organizzativa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comprendente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gli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obiettivi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le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azioni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le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risorse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umane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gli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strumenti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che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intendono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impiegare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la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congruenza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tra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obiettivi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previsti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strumenti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realizzativi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proposti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relativo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cronoprogramma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la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costituita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costituenda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rete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partner (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pubblici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e/o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privati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)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afferente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la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proposta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progettuale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lastRenderedPageBreak/>
              <w:t>B.3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Modalità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organizzazione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degli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sportelli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sulla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base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dotazione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organica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ruoli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orari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turni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giornalieri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monte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ore non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frontale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metodologie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</w:p>
        </w:tc>
      </w:tr>
      <w:tr w:rsidR="00AC211D" w:rsidRPr="00AC211D" w:rsidTr="00AC211D">
        <w:trPr>
          <w:trHeight w:val="409"/>
        </w:trPr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B.4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Strumenti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monitoraggio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valutazione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processi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risultati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degli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impatti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sociali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B.5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Attuazione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percorsi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atti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favorire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l’interazione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con la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rete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servizi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con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particolare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al target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utenza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HCP 2022,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che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sostengano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in un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processo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unitario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lo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sviluppo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un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sistema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integrato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collaborando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attraverso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la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proposta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attività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formazione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comuni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>.</w:t>
            </w:r>
            <w:r w:rsidRPr="00AC211D">
              <w:rPr>
                <w:rFonts w:ascii="Dubai" w:hAnsi="Dubai" w:cs="Dubai"/>
                <w:b/>
                <w:sz w:val="20"/>
              </w:rPr>
              <w:t xml:space="preserve"> 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B.6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 xml:space="preserve">Piano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promozione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comunicazione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informazione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Progetto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 w:val="restar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B.7</w:t>
            </w: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 xml:space="preserve">Piano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formazione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specifica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personale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impegnato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servizio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ed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eventuale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eccedenza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alle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ore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obbligatorie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previste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volte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partecipazione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ad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iniziative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formative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territoriali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. </w:t>
            </w:r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10 a 20 ore –  1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punto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21 a 30 ore –  2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31 a 40 ore – 3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41 a 50 ore –  4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51 a 59 ore – 5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61 a 70 ore – 6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Merge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Oltre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70 ore  – 7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punti</w:t>
            </w:r>
            <w:proofErr w:type="spellEnd"/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B.8</w:t>
            </w:r>
          </w:p>
        </w:tc>
        <w:tc>
          <w:tcPr>
            <w:tcW w:w="4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11D" w:rsidRPr="00AC211D" w:rsidRDefault="00AC211D" w:rsidP="009D4FD3">
            <w:pPr>
              <w:shd w:val="clear" w:color="auto" w:fill="FFFFFF"/>
              <w:rPr>
                <w:rFonts w:ascii="Dubai" w:hAnsi="Dubai" w:cs="Dubai"/>
                <w:sz w:val="20"/>
                <w:lang w:eastAsia="it-IT"/>
              </w:rPr>
            </w:pPr>
            <w:proofErr w:type="spellStart"/>
            <w:r w:rsidRPr="00AC211D">
              <w:rPr>
                <w:rFonts w:ascii="Dubai" w:hAnsi="Dubai" w:cs="Dubai"/>
                <w:b/>
                <w:sz w:val="20"/>
              </w:rPr>
              <w:t>Coerenza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del piano </w:t>
            </w:r>
            <w:proofErr w:type="spellStart"/>
            <w:r w:rsidRPr="00AC211D">
              <w:rPr>
                <w:rFonts w:ascii="Dubai" w:hAnsi="Dubai" w:cs="Dubai"/>
                <w:b/>
                <w:sz w:val="20"/>
              </w:rPr>
              <w:t>dei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b/>
                <w:sz w:val="20"/>
              </w:rPr>
              <w:t>costi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con le </w:t>
            </w:r>
            <w:proofErr w:type="spellStart"/>
            <w:r w:rsidRPr="00AC211D">
              <w:rPr>
                <w:rFonts w:ascii="Dubai" w:hAnsi="Dubai" w:cs="Dubai"/>
                <w:b/>
                <w:sz w:val="20"/>
              </w:rPr>
              <w:t>attività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b/>
                <w:sz w:val="20"/>
              </w:rPr>
              <w:t>progettate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</w:t>
            </w:r>
            <w:r w:rsidRPr="00AC211D">
              <w:rPr>
                <w:rFonts w:ascii="Dubai" w:hAnsi="Dubai" w:cs="Dubai"/>
                <w:sz w:val="20"/>
                <w:lang w:eastAsia="it-IT"/>
              </w:rPr>
              <w:t xml:space="preserve">(in termini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efficacia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efficienza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destinatari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raggiunti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ampiezza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territorio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 xml:space="preserve">  </w:t>
            </w:r>
            <w:proofErr w:type="spellStart"/>
            <w:r w:rsidRPr="00AC211D">
              <w:rPr>
                <w:rFonts w:ascii="Dubai" w:hAnsi="Dubai" w:cs="Dubai"/>
                <w:sz w:val="20"/>
                <w:lang w:eastAsia="it-IT"/>
              </w:rPr>
              <w:t>considerato</w:t>
            </w:r>
            <w:proofErr w:type="spellEnd"/>
            <w:r w:rsidRPr="00AC211D">
              <w:rPr>
                <w:rFonts w:ascii="Dubai" w:hAnsi="Dubai" w:cs="Dubai"/>
                <w:sz w:val="20"/>
                <w:lang w:eastAsia="it-IT"/>
              </w:rPr>
              <w:t>).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</w:p>
        </w:tc>
        <w:tc>
          <w:tcPr>
            <w:tcW w:w="4667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C211D" w:rsidRPr="00AC211D" w:rsidRDefault="00AC211D" w:rsidP="009D4FD3">
            <w:pPr>
              <w:jc w:val="both"/>
              <w:rPr>
                <w:rFonts w:ascii="Dubai" w:hAnsi="Dubai" w:cs="Dubai"/>
                <w:b/>
                <w:sz w:val="20"/>
              </w:rPr>
            </w:pPr>
            <w:r w:rsidRPr="00AC211D">
              <w:rPr>
                <w:rFonts w:ascii="Dubai" w:hAnsi="Dubai" w:cs="Dubai"/>
                <w:b/>
                <w:sz w:val="20"/>
              </w:rPr>
              <w:t>C) COFINANZIAMENTO ECONOMICO  (MAX 20 PUNTI)</w:t>
            </w:r>
          </w:p>
        </w:tc>
      </w:tr>
      <w:tr w:rsidR="00AC211D" w:rsidRPr="00AC211D" w:rsidTr="00AC211D">
        <w:tc>
          <w:tcPr>
            <w:tcW w:w="333" w:type="pct"/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C.1</w:t>
            </w:r>
          </w:p>
        </w:tc>
        <w:tc>
          <w:tcPr>
            <w:tcW w:w="4667" w:type="pct"/>
            <w:tcBorders>
              <w:bottom w:val="single" w:sz="4" w:space="0" w:color="auto"/>
            </w:tcBorders>
            <w:vAlign w:val="center"/>
          </w:tcPr>
          <w:p w:rsidR="00AC211D" w:rsidRPr="00AC211D" w:rsidRDefault="00AC211D" w:rsidP="009D4FD3">
            <w:pPr>
              <w:jc w:val="both"/>
              <w:rPr>
                <w:rFonts w:ascii="Dubai" w:hAnsi="Dubai" w:cs="Dubai"/>
                <w:color w:val="FF0000"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Proposte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aggiuntive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innovative (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da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finanziare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mediante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 la quota 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 co-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finanziamento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 IVA </w:t>
            </w:r>
            <w:proofErr w:type="spellStart"/>
            <w:r w:rsidRPr="00AC211D">
              <w:rPr>
                <w:rFonts w:ascii="Dubai" w:hAnsi="Dubai" w:cs="Dubai"/>
                <w:i/>
                <w:iCs/>
                <w:sz w:val="20"/>
              </w:rPr>
              <w:t>inclusa</w:t>
            </w:r>
            <w:proofErr w:type="spellEnd"/>
            <w:r w:rsidRPr="00AC211D">
              <w:rPr>
                <w:rFonts w:ascii="Dubai" w:hAnsi="Dubai" w:cs="Dubai"/>
                <w:i/>
                <w:iCs/>
                <w:sz w:val="20"/>
              </w:rPr>
              <w:t xml:space="preserve">). </w:t>
            </w:r>
            <w:proofErr w:type="spellStart"/>
            <w:r w:rsidRPr="00AC211D">
              <w:rPr>
                <w:rFonts w:ascii="Dubai" w:hAnsi="Dubai" w:cs="Dubai"/>
                <w:iCs/>
                <w:sz w:val="20"/>
              </w:rPr>
              <w:t>L’</w:t>
            </w:r>
            <w:r w:rsidRPr="00AC211D">
              <w:rPr>
                <w:rFonts w:ascii="Dubai" w:hAnsi="Dubai" w:cs="Dubai"/>
                <w:sz w:val="20"/>
              </w:rPr>
              <w:t>importo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co-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finanziamento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presentato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dal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candidato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proposta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progettuale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,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deve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essere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dettagliato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per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ogni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singola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voce</w:t>
            </w:r>
            <w:r w:rsidRPr="00AC211D">
              <w:rPr>
                <w:rFonts w:ascii="Dubai" w:hAnsi="Dubai" w:cs="Dubai"/>
                <w:color w:val="FF0000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pena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la non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valutazione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e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messo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disposizione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annualmente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fino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a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naturale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scadenza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del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progetto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. </w:t>
            </w:r>
          </w:p>
          <w:p w:rsidR="00AC211D" w:rsidRPr="00AC211D" w:rsidRDefault="00AC211D" w:rsidP="009D4FD3">
            <w:pPr>
              <w:pStyle w:val="TableParagraph"/>
              <w:spacing w:before="4"/>
              <w:rPr>
                <w:rFonts w:ascii="Dubai" w:hAnsi="Dubai" w:cs="Dubai"/>
                <w:sz w:val="20"/>
                <w:lang w:val="it-IT"/>
              </w:rPr>
            </w:pPr>
            <w:r w:rsidRPr="00AC211D">
              <w:rPr>
                <w:rFonts w:ascii="Dubai" w:hAnsi="Dubai" w:cs="Dubai"/>
                <w:sz w:val="20"/>
                <w:lang w:val="it-IT"/>
              </w:rPr>
              <w:t>- Cofinanziamento economico “</w:t>
            </w:r>
          </w:p>
          <w:tbl>
            <w:tblPr>
              <w:tblStyle w:val="Grigliatabella"/>
              <w:tblW w:w="7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65"/>
              <w:gridCol w:w="1729"/>
            </w:tblGrid>
            <w:tr w:rsidR="00AC211D" w:rsidRPr="00AC211D" w:rsidTr="009D4FD3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jc w:val="bot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 xml:space="preserve">fino al 5% di cofinanziamento dello stanziamento  </w:t>
                  </w:r>
                  <w:r w:rsidRPr="00AC211D">
                    <w:rPr>
                      <w:rFonts w:ascii="Dubai" w:hAnsi="Dubai" w:cs="Dubai"/>
                      <w:b/>
                      <w:sz w:val="20"/>
                      <w:lang w:val="it-IT"/>
                    </w:rPr>
                    <w:t xml:space="preserve">TEORICO </w:t>
                  </w: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 xml:space="preserve">di  € </w:t>
                  </w:r>
                  <w:r w:rsidRPr="00AC211D">
                    <w:rPr>
                      <w:rFonts w:ascii="Dubai" w:eastAsia="Times New Roman" w:hAnsi="Dubai" w:cs="Dubai"/>
                      <w:b/>
                      <w:bCs/>
                      <w:color w:val="000000"/>
                      <w:sz w:val="20"/>
                      <w:lang w:eastAsia="it-IT"/>
                    </w:rPr>
                    <w:t>293.720,00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2</w:t>
                  </w:r>
                </w:p>
              </w:tc>
            </w:tr>
            <w:tr w:rsidR="00AC211D" w:rsidRPr="00AC211D" w:rsidTr="009D4FD3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dal 6% al 7%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4</w:t>
                  </w:r>
                </w:p>
              </w:tc>
            </w:tr>
            <w:tr w:rsidR="00AC211D" w:rsidRPr="00AC211D" w:rsidTr="009D4FD3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dal 8% al 10%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6</w:t>
                  </w:r>
                </w:p>
              </w:tc>
            </w:tr>
            <w:tr w:rsidR="00AC211D" w:rsidRPr="00AC211D" w:rsidTr="009D4FD3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dal 11% al 15%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8</w:t>
                  </w:r>
                </w:p>
              </w:tc>
            </w:tr>
            <w:tr w:rsidR="00AC211D" w:rsidRPr="00AC211D" w:rsidTr="009D4FD3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dal 16% al 19%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9</w:t>
                  </w:r>
                </w:p>
              </w:tc>
            </w:tr>
            <w:tr w:rsidR="00AC211D" w:rsidRPr="00AC211D" w:rsidTr="009D4FD3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dal 19% al 23%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11</w:t>
                  </w:r>
                </w:p>
              </w:tc>
            </w:tr>
            <w:tr w:rsidR="00AC211D" w:rsidRPr="00AC211D" w:rsidTr="009D4FD3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pStyle w:val="TableParagraph"/>
                    <w:rPr>
                      <w:rFonts w:ascii="Dubai" w:hAnsi="Dubai" w:cs="Dubai"/>
                      <w:sz w:val="20"/>
                      <w:lang w:val="it-IT"/>
                    </w:rPr>
                  </w:pPr>
                  <w:r w:rsidRPr="00AC211D">
                    <w:rPr>
                      <w:rFonts w:ascii="Dubai" w:hAnsi="Dubai" w:cs="Dubai"/>
                      <w:sz w:val="20"/>
                      <w:lang w:val="it-IT"/>
                    </w:rPr>
                    <w:t>Oltre il 23%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</w:tcBorders>
                </w:tcPr>
                <w:p w:rsidR="00AC211D" w:rsidRPr="00AC211D" w:rsidRDefault="00AC211D" w:rsidP="009D4FD3">
                  <w:pPr>
                    <w:rPr>
                      <w:rFonts w:ascii="Dubai" w:hAnsi="Dubai" w:cs="Dubai"/>
                      <w:sz w:val="20"/>
                    </w:rPr>
                  </w:pPr>
                  <w:r w:rsidRPr="00AC211D">
                    <w:rPr>
                      <w:rFonts w:ascii="Dubai" w:hAnsi="Dubai" w:cs="Dubai"/>
                      <w:sz w:val="20"/>
                    </w:rPr>
                    <w:t>p. 14</w:t>
                  </w:r>
                </w:p>
              </w:tc>
            </w:tr>
          </w:tbl>
          <w:p w:rsidR="00AC211D" w:rsidRPr="00AC211D" w:rsidRDefault="00AC211D" w:rsidP="009D4FD3">
            <w:pPr>
              <w:pStyle w:val="TableParagraph"/>
              <w:spacing w:before="4"/>
              <w:rPr>
                <w:rFonts w:ascii="Dubai" w:eastAsia="Calibri" w:hAnsi="Dubai" w:cs="Dubai"/>
                <w:sz w:val="20"/>
                <w:lang w:val="it-IT"/>
              </w:rPr>
            </w:pPr>
          </w:p>
        </w:tc>
      </w:tr>
      <w:tr w:rsidR="00AC211D" w:rsidRPr="00AC211D" w:rsidTr="00AC211D"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rPr>
                <w:rFonts w:ascii="Dubai" w:hAnsi="Dubai" w:cs="Dubai"/>
                <w:sz w:val="20"/>
              </w:rPr>
            </w:pPr>
            <w:r w:rsidRPr="00AC211D">
              <w:rPr>
                <w:rFonts w:ascii="Dubai" w:hAnsi="Dubai" w:cs="Dubai"/>
                <w:sz w:val="20"/>
              </w:rPr>
              <w:t>C.2</w:t>
            </w:r>
          </w:p>
        </w:tc>
        <w:tc>
          <w:tcPr>
            <w:tcW w:w="4667" w:type="pct"/>
            <w:tcBorders>
              <w:bottom w:val="single" w:sz="4" w:space="0" w:color="auto"/>
            </w:tcBorders>
            <w:vAlign w:val="center"/>
          </w:tcPr>
          <w:p w:rsidR="00AC211D" w:rsidRPr="00AC211D" w:rsidRDefault="00AC211D" w:rsidP="009D4FD3">
            <w:pPr>
              <w:autoSpaceDE w:val="0"/>
              <w:autoSpaceDN w:val="0"/>
              <w:adjustRightInd w:val="0"/>
              <w:jc w:val="both"/>
              <w:rPr>
                <w:rFonts w:ascii="Dubai" w:hAnsi="Dubai" w:cs="Dubai"/>
                <w:b/>
                <w:sz w:val="20"/>
              </w:rPr>
            </w:pPr>
            <w:proofErr w:type="spellStart"/>
            <w:r w:rsidRPr="00AC211D">
              <w:rPr>
                <w:rFonts w:ascii="Dubai" w:hAnsi="Dubai" w:cs="Dubai"/>
                <w:sz w:val="20"/>
              </w:rPr>
              <w:t>Apertura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di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ulteriore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sportello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nel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dell’Ambito</w:t>
            </w:r>
            <w:proofErr w:type="spellEnd"/>
            <w:r w:rsidRPr="00AC211D">
              <w:rPr>
                <w:rFonts w:ascii="Dubai" w:hAnsi="Dubai" w:cs="Dubai"/>
                <w:sz w:val="20"/>
              </w:rPr>
              <w:t xml:space="preserve"> </w:t>
            </w:r>
            <w:proofErr w:type="spellStart"/>
            <w:r w:rsidRPr="00AC211D">
              <w:rPr>
                <w:rFonts w:ascii="Dubai" w:hAnsi="Dubai" w:cs="Dubai"/>
                <w:sz w:val="20"/>
              </w:rPr>
              <w:t>territoriale</w:t>
            </w:r>
            <w:proofErr w:type="spellEnd"/>
            <w:r w:rsidRPr="00AC211D">
              <w:rPr>
                <w:rFonts w:ascii="Dubai" w:hAnsi="Dubai" w:cs="Dubai"/>
                <w:b/>
                <w:sz w:val="20"/>
              </w:rPr>
              <w:t xml:space="preserve">  B2</w:t>
            </w:r>
          </w:p>
        </w:tc>
      </w:tr>
    </w:tbl>
    <w:p w:rsidR="00927AB5" w:rsidRDefault="00927AB5" w:rsidP="00927AB5">
      <w:pPr>
        <w:pStyle w:val="Corpodeltesto"/>
        <w:spacing w:before="199" w:line="264" w:lineRule="auto"/>
        <w:ind w:right="372"/>
        <w:jc w:val="center"/>
        <w:rPr>
          <w:b/>
          <w:lang w:val="it-IT"/>
        </w:rPr>
      </w:pPr>
    </w:p>
    <w:p w:rsidR="003D2B90" w:rsidRPr="00B27BF3" w:rsidRDefault="003D2B90">
      <w:pPr>
        <w:pStyle w:val="Corpodel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deltesto"/>
        <w:spacing w:before="11"/>
        <w:jc w:val="left"/>
        <w:rPr>
          <w:sz w:val="17"/>
          <w:lang w:val="it-IT"/>
        </w:rPr>
      </w:pPr>
    </w:p>
    <w:p w:rsidR="001C42EB" w:rsidRPr="00E90C5E" w:rsidRDefault="00AC211D" w:rsidP="00AC211D">
      <w:pPr>
        <w:tabs>
          <w:tab w:val="decimal" w:pos="-1701"/>
          <w:tab w:val="left" w:pos="594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DOCUMENTO </w:t>
      </w:r>
      <w:r w:rsidR="001C42EB" w:rsidRPr="00E90C5E">
        <w:rPr>
          <w:rFonts w:ascii="Calibri" w:hAnsi="Calibri" w:cs="Calibri"/>
          <w:b/>
        </w:rPr>
        <w:t>FIRMATO DIGITALMENTE</w:t>
      </w:r>
    </w:p>
    <w:p w:rsidR="001C42EB" w:rsidRPr="00AC211D" w:rsidRDefault="001C42EB" w:rsidP="00AC211D">
      <w:pPr>
        <w:autoSpaceDE w:val="0"/>
        <w:autoSpaceDN w:val="0"/>
        <w:adjustRightInd w:val="0"/>
        <w:spacing w:line="360" w:lineRule="auto"/>
        <w:contextualSpacing/>
        <w:jc w:val="right"/>
        <w:rPr>
          <w:b/>
          <w:bCs/>
          <w:color w:val="000000"/>
          <w:sz w:val="18"/>
          <w:lang w:val="it-IT"/>
        </w:rPr>
      </w:pPr>
      <w:r w:rsidRPr="001C42EB">
        <w:rPr>
          <w:rFonts w:ascii="Calibri" w:hAnsi="Calibri" w:cs="Calibri"/>
          <w:sz w:val="18"/>
          <w:lang w:val="it-IT"/>
        </w:rPr>
        <w:t xml:space="preserve">ai sensi del </w:t>
      </w:r>
      <w:proofErr w:type="spellStart"/>
      <w:r w:rsidRPr="001C42EB">
        <w:rPr>
          <w:rFonts w:ascii="Calibri" w:hAnsi="Calibri" w:cs="Calibri"/>
          <w:sz w:val="18"/>
          <w:lang w:val="it-IT"/>
        </w:rPr>
        <w:t>D.Lgs</w:t>
      </w:r>
      <w:proofErr w:type="spellEnd"/>
      <w:r w:rsidRPr="001C42EB">
        <w:rPr>
          <w:rFonts w:ascii="Calibri" w:hAnsi="Calibri" w:cs="Calibri"/>
          <w:sz w:val="18"/>
          <w:lang w:val="it-IT"/>
        </w:rPr>
        <w:t xml:space="preserve"> 82/2005 (Codice dell’amministrazione digitale</w:t>
      </w:r>
    </w:p>
    <w:p w:rsidR="001C42EB" w:rsidRDefault="001C42EB">
      <w:pPr>
        <w:pStyle w:val="Corpodeltesto"/>
        <w:spacing w:before="11"/>
        <w:jc w:val="left"/>
        <w:rPr>
          <w:b/>
          <w:lang w:val="it-IT"/>
        </w:rPr>
      </w:pPr>
    </w:p>
    <w:p w:rsidR="001C42EB" w:rsidRPr="00B27BF3" w:rsidRDefault="001C42EB">
      <w:pPr>
        <w:pStyle w:val="Corpodeltesto"/>
        <w:spacing w:before="11"/>
        <w:jc w:val="left"/>
        <w:rPr>
          <w:b/>
          <w:lang w:val="it-IT"/>
        </w:rPr>
      </w:pPr>
    </w:p>
    <w:sectPr w:rsidR="001C42EB" w:rsidRPr="00B27BF3" w:rsidSect="00AC211D">
      <w:pgSz w:w="1190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2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4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2B90"/>
    <w:rsid w:val="000014BA"/>
    <w:rsid w:val="0002284B"/>
    <w:rsid w:val="0002468E"/>
    <w:rsid w:val="00074397"/>
    <w:rsid w:val="000960A4"/>
    <w:rsid w:val="000C35D6"/>
    <w:rsid w:val="000D6477"/>
    <w:rsid w:val="000E151F"/>
    <w:rsid w:val="000E2151"/>
    <w:rsid w:val="000E54F4"/>
    <w:rsid w:val="00140AAD"/>
    <w:rsid w:val="00145218"/>
    <w:rsid w:val="001460E5"/>
    <w:rsid w:val="00162095"/>
    <w:rsid w:val="001658E1"/>
    <w:rsid w:val="00187D78"/>
    <w:rsid w:val="001A1184"/>
    <w:rsid w:val="001C42EB"/>
    <w:rsid w:val="002035C6"/>
    <w:rsid w:val="00210602"/>
    <w:rsid w:val="002319FC"/>
    <w:rsid w:val="00286BF4"/>
    <w:rsid w:val="00290AA1"/>
    <w:rsid w:val="002B7B35"/>
    <w:rsid w:val="002F4FED"/>
    <w:rsid w:val="00320413"/>
    <w:rsid w:val="003354F5"/>
    <w:rsid w:val="00345C9F"/>
    <w:rsid w:val="003901AE"/>
    <w:rsid w:val="003B7920"/>
    <w:rsid w:val="003D2B90"/>
    <w:rsid w:val="003F791B"/>
    <w:rsid w:val="00424C37"/>
    <w:rsid w:val="00454D00"/>
    <w:rsid w:val="00465DBD"/>
    <w:rsid w:val="00470F24"/>
    <w:rsid w:val="004C21C1"/>
    <w:rsid w:val="004D50C4"/>
    <w:rsid w:val="00532B2D"/>
    <w:rsid w:val="00552AD2"/>
    <w:rsid w:val="0058090A"/>
    <w:rsid w:val="005B12BE"/>
    <w:rsid w:val="005D1E1C"/>
    <w:rsid w:val="005D7262"/>
    <w:rsid w:val="005F2A6C"/>
    <w:rsid w:val="005F748B"/>
    <w:rsid w:val="00601DC8"/>
    <w:rsid w:val="00632A30"/>
    <w:rsid w:val="00654C4A"/>
    <w:rsid w:val="006A59A8"/>
    <w:rsid w:val="006B7ECC"/>
    <w:rsid w:val="00752E73"/>
    <w:rsid w:val="0075795C"/>
    <w:rsid w:val="00761940"/>
    <w:rsid w:val="00770273"/>
    <w:rsid w:val="00776A56"/>
    <w:rsid w:val="007A069A"/>
    <w:rsid w:val="007A64B3"/>
    <w:rsid w:val="00850F94"/>
    <w:rsid w:val="00886DE6"/>
    <w:rsid w:val="00896860"/>
    <w:rsid w:val="008E70C5"/>
    <w:rsid w:val="0091008C"/>
    <w:rsid w:val="00927AB5"/>
    <w:rsid w:val="00933498"/>
    <w:rsid w:val="00977057"/>
    <w:rsid w:val="00986426"/>
    <w:rsid w:val="009A5835"/>
    <w:rsid w:val="009A5F5B"/>
    <w:rsid w:val="009C2803"/>
    <w:rsid w:val="00A45319"/>
    <w:rsid w:val="00A646C1"/>
    <w:rsid w:val="00A97C3F"/>
    <w:rsid w:val="00AC151A"/>
    <w:rsid w:val="00AC211D"/>
    <w:rsid w:val="00AE0A81"/>
    <w:rsid w:val="00B120C3"/>
    <w:rsid w:val="00B27BF3"/>
    <w:rsid w:val="00B61473"/>
    <w:rsid w:val="00B87B7B"/>
    <w:rsid w:val="00BB2052"/>
    <w:rsid w:val="00BD0F80"/>
    <w:rsid w:val="00C1652F"/>
    <w:rsid w:val="00C73BCB"/>
    <w:rsid w:val="00CA45D3"/>
    <w:rsid w:val="00CD71F5"/>
    <w:rsid w:val="00CE0025"/>
    <w:rsid w:val="00D57893"/>
    <w:rsid w:val="00D75C9B"/>
    <w:rsid w:val="00D84C6A"/>
    <w:rsid w:val="00DA0B95"/>
    <w:rsid w:val="00E41462"/>
    <w:rsid w:val="00E86012"/>
    <w:rsid w:val="00EE0185"/>
    <w:rsid w:val="00EE128E"/>
    <w:rsid w:val="00EF4950"/>
    <w:rsid w:val="00F24DA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646C1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21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211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211D"/>
    <w:pPr>
      <w:autoSpaceDE w:val="0"/>
      <w:autoSpaceDN w:val="0"/>
      <w:adjustRightInd w:val="0"/>
    </w:pPr>
    <w:rPr>
      <w:rFonts w:ascii="Garamond,Italic" w:eastAsia="Times New Roman" w:hAnsi="Garamond,Italic" w:cs="Garamond,Italic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itob2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4245-BAE4-44D7-AF44-094848D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B2 ASC</cp:lastModifiedBy>
  <cp:revision>2</cp:revision>
  <cp:lastPrinted>2022-06-01T08:23:00Z</cp:lastPrinted>
  <dcterms:created xsi:type="dcterms:W3CDTF">2022-11-15T15:54:00Z</dcterms:created>
  <dcterms:modified xsi:type="dcterms:W3CDTF">2022-11-15T15:54:00Z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